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81000630020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ZUBIENA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Piemonte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NICOLETTA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LO MANTO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Segretario Comunale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 Comunale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28/03/2013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2014 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TRATTASI DI ENTE CON PERSONALE RIDOTTO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non sono pervenute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non sono pervenute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RISULTA NECESSARIO DATO LE MODESTE DIMENSIONI DELL'ENTE.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Email</w:t>
        <w:br/>
        <w:t xml:space="preserve"> </w:t>
        <w:br/>
        <w:t>Possono effettuare le segnalazioni solo i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2</w:t>
        <w:br/>
        <w:t xml:space="preserve">    - Referenti per un numero medio di ore 2</w:t>
        <w:br/>
        <w:t xml:space="preserve">    - Funzionari per un numero medio di ore 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Tuttavia, i corsi di formazione successivi non sono stati programmati in funzione dei feedback ottenuti.</w:t>
        <w:br/>
        <w:t/>
        <w:br/>
        <w:t>La formazione è stata affidata a soggetti esterni in dettaglio:</w:t>
        <w:br/>
        <w:t xml:space="preserve">  - MYO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1000.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Non è stato istituito il registro degli accessi.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SI RITIENE NECESSARIO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positivo su NON E' POSSIBILE VALUTARE L'EFFETTO DATO LE MODESTE DIMENSIONI DELL'ENTE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NON ADOTTATE VISTA L'ENTITA' DELL'ENTE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IL LIVELLO VIENE GIUDICATO IN BASE ALLE MODESTE DIMENSIONI DELL'ENTE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ragioni:IL LIVELLO VIENE GIUDICATO IN BASE ALLE MODESTE DIMENSIONI DELL'ENTE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ragioni:IL LIVELLO VIENE GIUDICATO IN BASE ALLE MODESTE DIMENSIONI DELL'ENTE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